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02" w:rsidRDefault="002D6E02">
      <w:r>
        <w:t>от 17.05.2021</w:t>
      </w:r>
    </w:p>
    <w:p w:rsidR="002D6E02" w:rsidRDefault="002D6E02"/>
    <w:p w:rsidR="002D6E02" w:rsidRDefault="002D6E02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D6E02" w:rsidRDefault="002D6E02">
      <w:r>
        <w:t>Общество с ограниченной ответственностью «АрхМасштаб» ИНН 7714385535</w:t>
      </w:r>
    </w:p>
    <w:p w:rsidR="002D6E02" w:rsidRDefault="002D6E02">
      <w:r>
        <w:t>Общество с ограниченной ответственностью «КОЛОР ВУД» ИНН 5904336927</w:t>
      </w:r>
    </w:p>
    <w:p w:rsidR="002D6E02" w:rsidRDefault="002D6E02">
      <w:r>
        <w:t>Общество с ограниченной ответственностью «АТ–СТРОЙГРУПП» ИНН 9701053448</w:t>
      </w:r>
    </w:p>
    <w:p w:rsidR="002D6E02" w:rsidRDefault="002D6E0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D6E02"/>
    <w:rsid w:val="00045D12"/>
    <w:rsid w:val="002D6E0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